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“MY LORD AND MY GOD!”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John 20:1–31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Key Verse: 20:28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Mary discover,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does she do, and why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How are Peter and the other disciple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contrasted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(3–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do the linen cloth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 and face cloth suggest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What happens to the other disciple (8)? What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the au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thor’s comment, and why (9)?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How are the disciples and Mary contrasted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(10–11a)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see (11b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does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verse 13 tell us?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happens (14)?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do Jesus’ words to her mean (15a)? What does she suppose, and what does she offer (15b)? What does this tell 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How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Jesus reveal himself to her, and how is her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understanding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him still limited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(16)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Jesus tell her not to cling to him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and what should she do instead (17a)? What is his message to his “brothers,” and how does this summarize the gospel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(17b)? What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Mary do and say, and how has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she changed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(18)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How are the disciples described (19a)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Jesus say and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(19b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How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them (20b)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peat, and why (21a)? How does he commission them, and what does this mean (21b)? How does he equip them (22)?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he say about forgiveness, and why (23)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Thomas’ initial response, and why (24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How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Jesus help him (26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Thomas confess (28)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Jesus say, and what does this mean to us (29)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what purpose did the author write this Gospel (30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does it mean to “believe” these things and “have life”?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